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2-932</w:t>
      </w:r>
      <w:r>
        <w:rPr>
          <w:rFonts w:ascii="Times New Roman" w:eastAsia="Times New Roman" w:hAnsi="Times New Roman" w:cs="Times New Roman"/>
        </w:rPr>
        <w:t>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20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2 Сургутского судебного района города окружного значения Сургута Ханты-Мансийского автономного округа-Югры Бордунов М.Б., при секретаре су</w:t>
      </w:r>
      <w:r>
        <w:rPr>
          <w:rFonts w:ascii="Times New Roman" w:eastAsia="Times New Roman" w:hAnsi="Times New Roman" w:cs="Times New Roman"/>
          <w:sz w:val="27"/>
          <w:szCs w:val="27"/>
        </w:rPr>
        <w:t>дебного заседания Куликовой О.П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рассмотрев в открытом судебном заседании гражданское дело по иску 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>Перевозкиной Наталье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Геннадьевне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неосновательного обогащения за пользование земельным участком и процентов за пользование чужими денежными средствами,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167, 194-199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 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>Перевозкиной Наталье Геннадьевне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неосновательного обогащения за пользование земельным участком и процентов за пользование чужими денежными средствами – удовлетворить частично.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Перевозкиной Натальи </w:t>
      </w:r>
      <w:r>
        <w:rPr>
          <w:rFonts w:ascii="Times New Roman" w:eastAsia="Times New Roman" w:hAnsi="Times New Roman" w:cs="Times New Roman"/>
          <w:sz w:val="27"/>
          <w:szCs w:val="27"/>
        </w:rPr>
        <w:t>Генн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адьевны, </w:t>
      </w:r>
      <w:r>
        <w:rPr>
          <w:rStyle w:val="cat-PassportDatagrp-16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пользу Администрации города Сургута, ИНН </w:t>
      </w:r>
      <w:r>
        <w:rPr>
          <w:rStyle w:val="cat-PhoneNumbergrp-19rplc-13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неосновательное обогащение за пользование земельным участком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адастровым номером </w:t>
      </w:r>
      <w:r>
        <w:rPr>
          <w:rStyle w:val="cat-UserDefinedgrp-21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расположенным по адресу: Ханты-Мансийский автономный округ-Югра, г. Сургут, мкр.11А, проспект Мира, в размере 649 рублей 08 копеек за период с 12.03.2023 по 31.05.2023,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также проценты за пользование чужими денежными средствами в размере ключевой ст</w:t>
      </w:r>
      <w:r>
        <w:rPr>
          <w:rFonts w:ascii="Times New Roman" w:eastAsia="Times New Roman" w:hAnsi="Times New Roman" w:cs="Times New Roman"/>
          <w:sz w:val="27"/>
          <w:szCs w:val="27"/>
        </w:rPr>
        <w:t>авки Банка России от суммы 649 рублей 08 копеек за каждый день просрочки с 01.06.2023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день фактической уплаты.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остальной части в удовлетворении исковых требований 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>Перевозкиной Наталье Геннадьевне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отказать, в связи с пропуском срока исковой давности.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Перевозкиной Натальи Геннадьевны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доход местного бюджета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судебные </w:t>
      </w:r>
      <w:r>
        <w:rPr>
          <w:rFonts w:ascii="Times New Roman" w:eastAsia="Times New Roman" w:hAnsi="Times New Roman" w:cs="Times New Roman"/>
          <w:sz w:val="27"/>
          <w:szCs w:val="27"/>
        </w:rPr>
        <w:t>расходы по уплате государстве</w:t>
      </w:r>
      <w:r>
        <w:rPr>
          <w:rFonts w:ascii="Times New Roman" w:eastAsia="Times New Roman" w:hAnsi="Times New Roman" w:cs="Times New Roman"/>
          <w:sz w:val="27"/>
          <w:szCs w:val="27"/>
        </w:rPr>
        <w:t>нной пошлины в размере 4 000 рублей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месяца со дня принятия решения суда в окончательной форме, путем подачи апелляционной жалобы через мирового судью судебного участка № 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7"/>
          <w:szCs w:val="27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7"/>
          <w:szCs w:val="27"/>
        </w:rPr>
        <w:t>а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№2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8"/>
          <w:szCs w:val="18"/>
        </w:rPr>
        <w:t>2-932</w:t>
      </w:r>
      <w:r>
        <w:rPr>
          <w:rFonts w:ascii="Times New Roman" w:eastAsia="Times New Roman" w:hAnsi="Times New Roman" w:cs="Times New Roman"/>
          <w:sz w:val="18"/>
          <w:szCs w:val="18"/>
        </w:rPr>
        <w:t>-2602/2026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PhoneNumbergrp-19rplc-13">
    <w:name w:val="cat-PhoneNumber grp-19 rplc-13"/>
    <w:basedOn w:val="DefaultParagraphFont"/>
  </w:style>
  <w:style w:type="character" w:customStyle="1" w:styleId="cat-UserDefinedgrp-21rplc-14">
    <w:name w:val="cat-UserDefined grp-2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